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8520"/>
        </w:tabs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4444409</wp:posOffset>
            </wp:positionH>
            <wp:positionV relativeFrom="line">
              <wp:posOffset>-329609</wp:posOffset>
            </wp:positionV>
            <wp:extent cx="1463040" cy="146304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sx="100000" sy="100000" kx="0" ky="0" algn="b" rotWithShape="0" blurRad="50800" dist="38100" dir="270000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40"/>
          <w:szCs w:val="40"/>
          <w:rtl w:val="0"/>
          <w:lang w:val="en-US"/>
        </w:rPr>
        <w:t>JOHN CONRAD A. VICTORINO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Address: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No. 3 Sto. Domingo St. Marisol Subd. Santolan, Pasig City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Telephone: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(02) 239 2900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Mobile: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(0917) 315 9462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Email: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"mailto:info@conradvictorino.com"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info@conradvictorino.com</w:t>
      </w:r>
      <w:r>
        <w:rPr/>
        <w:fldChar w:fldCharType="end" w:fldLock="0"/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Website: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"http://www.conradvictorino.com"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www.conradvictorino.com</w:t>
      </w:r>
      <w:r>
        <w:rPr/>
        <w:fldChar w:fldCharType="end" w:fldLock="0"/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OBJECTIVE</w:t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cs="Verdana" w:hAnsi="Verdana" w:eastAsia="Verdana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-6350</wp:posOffset>
                </wp:positionV>
                <wp:extent cx="593725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8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2pt;margin-top:-0.5pt;width:467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8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 Spacing"/>
        <w:rPr>
          <w:rFonts w:ascii="Verdana" w:cs="Verdana" w:hAnsi="Verdana" w:eastAsia="Verdana"/>
          <w:color w:val="262626"/>
          <w:sz w:val="20"/>
          <w:szCs w:val="20"/>
          <w:u w:color="262626"/>
        </w:rPr>
      </w:pPr>
      <w:r>
        <w:rPr>
          <w:rFonts w:ascii="Verdana" w:hAnsi="Verdana"/>
          <w:color w:val="262626"/>
          <w:sz w:val="20"/>
          <w:szCs w:val="20"/>
          <w:u w:color="262626"/>
          <w:rtl w:val="0"/>
          <w:lang w:val="en-US"/>
        </w:rPr>
        <w:t>To engage in a career that will allow for progress in terms of skills/expertise, socio-economic development, and innovation through exposure to new ideas for personal/professional growth, as well as growth of the company.</w:t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 Spacing"/>
        <w:spacing w:line="276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WORK EXPERIENCE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16509</wp:posOffset>
                </wp:positionV>
                <wp:extent cx="593725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8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.2pt;margin-top:1.3pt;width:467.5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8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MINDSHARE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Position: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Digital Manager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Job Description:</w:t>
      </w:r>
    </w:p>
    <w:p>
      <w:pPr>
        <w:pStyle w:val="No Spacing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Managing online campaigns and always on with non-biddable and biddable media.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Media planning.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Create media strategy to best meet digital objective for always on and campaigns.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Create search strategy including keywords analysis and recommendations.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Set up, monitor and optimize media campaigns on SEM, Facebook,YouTube, Twitter and all biddable media platform in general.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Track conversion rates and media data, organize reports.</w:t>
      </w:r>
    </w:p>
    <w:p>
      <w:pPr>
        <w:pStyle w:val="Body"/>
        <w:widowControl w:val="0"/>
        <w:spacing w:after="0" w:line="240" w:lineRule="auto"/>
        <w:rPr>
          <w:rFonts w:ascii="Verdana" w:cs="Verdana" w:hAnsi="Verdana" w:eastAsia="Verdana"/>
          <w:color w:val="000000"/>
          <w:sz w:val="20"/>
          <w:szCs w:val="20"/>
          <w:u w:color="00000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Accounts Handled: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Closeup, Selecta Ice Cream, Magnum, Cornetto, Rexona, Dove Deo, Axe, Knorr, Lady's Choice, PureIt, Unilever Food Solutions</w:t>
      </w:r>
    </w:p>
    <w:p>
      <w:pPr>
        <w:pStyle w:val="No Spacing"/>
        <w:rPr>
          <w:rFonts w:ascii="Verdana" w:cs="Verdana" w:hAnsi="Verdana" w:eastAsia="Verdana"/>
          <w:color w:val="000000"/>
          <w:sz w:val="20"/>
          <w:szCs w:val="20"/>
          <w:u w:color="000000"/>
          <w:lang w:val="en-US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 xml:space="preserve">GOOGLE DOUBLECLICK </w:t>
      </w:r>
      <w:r>
        <w:rPr>
          <w:rFonts w:ascii="Verdana" w:hAnsi="Verdana"/>
          <w:sz w:val="20"/>
          <w:szCs w:val="20"/>
          <w:rtl w:val="0"/>
          <w:lang w:val="en-US"/>
        </w:rPr>
        <w:t>- Cognizant Technology Solutions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Position: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Media Campaign Manager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Job Description: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Develops and maintain relationships with clients, technology partners, agencies and creative shops.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Assists with execution including launching, monitoring, analysing and communicating effective and ineffective areas of a campaign.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Works effectively with a variety of internal teams, including Sales, Engineering, Product Management, and other Client Services teams.</w:t>
      </w:r>
    </w:p>
    <w:p>
      <w:pPr>
        <w:pStyle w:val="Body"/>
        <w:widowControl w:val="0"/>
        <w:spacing w:after="0" w:line="240" w:lineRule="auto"/>
        <w:rPr>
          <w:rFonts w:ascii="Verdana" w:cs="Verdana" w:hAnsi="Verdana" w:eastAsia="Verdana"/>
          <w:color w:val="000000"/>
          <w:sz w:val="20"/>
          <w:szCs w:val="20"/>
          <w:u w:color="00000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Accounts Handled: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Microsoft, Apple, Samsung, T-Mobile, Verizon, Kate Spade, Mc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Donalds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, Kate Spade</w:t>
      </w:r>
    </w:p>
    <w:p>
      <w:pPr>
        <w:pStyle w:val="Body"/>
        <w:widowControl w:val="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POST AD VENTURES, INC.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Position: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Account Manager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Job Description: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Meeting and liaising with clients to discuss and identify their advertising &amp; events requirements.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Coming up with campaigns and presenting the ideas and budget to the client.</w:t>
      </w:r>
    </w:p>
    <w:p>
      <w:pPr>
        <w:pStyle w:val="Body"/>
        <w:widowControl w:val="0"/>
        <w:spacing w:after="0" w:line="240" w:lineRule="auto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Accounts Handled: Nissan Motor Philippines Inc., Lafarge Republic, Inc., Converygys, Global Savant Building Technologies, Mossimo Philippines, LG Electronics Philippines, Republ1c Wakepark, Camsur Watersports Complex, Holiday Inn &amp; Suites Makati</w:t>
      </w:r>
    </w:p>
    <w:p>
      <w:pPr>
        <w:pStyle w:val="Body"/>
        <w:widowControl w:val="0"/>
        <w:spacing w:after="0" w:line="240" w:lineRule="auto"/>
        <w:rPr>
          <w:rFonts w:ascii="Verdana" w:cs="Verdana" w:hAnsi="Verdana" w:eastAsia="Verdana"/>
          <w:color w:val="000000"/>
          <w:sz w:val="20"/>
          <w:szCs w:val="20"/>
          <w:u w:color="000000"/>
          <w:lang w:val="en-US"/>
        </w:rPr>
      </w:pPr>
    </w:p>
    <w:p>
      <w:pPr>
        <w:pStyle w:val="auto-style3"/>
        <w:spacing w:before="0" w:after="0" w:line="285" w:lineRule="atLeast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GLOBAL GUTZ PARKS INCORPORATED</w:t>
      </w:r>
    </w:p>
    <w:p>
      <w:pPr>
        <w:pStyle w:val="auto-style3"/>
        <w:spacing w:before="0" w:after="0" w:line="285" w:lineRule="atLeas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August 2010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– </w:t>
      </w:r>
      <w:r>
        <w:rPr>
          <w:rFonts w:ascii="Verdana" w:hAnsi="Verdana"/>
          <w:sz w:val="20"/>
          <w:szCs w:val="20"/>
          <w:rtl w:val="0"/>
          <w:lang w:val="en-US"/>
        </w:rPr>
        <w:t>February 2012</w:t>
      </w:r>
    </w:p>
    <w:p>
      <w:pPr>
        <w:pStyle w:val="auto-style3"/>
        <w:spacing w:before="0" w:after="0" w:line="285" w:lineRule="atLeast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Position:</w:t>
      </w:r>
      <w:r>
        <w:rPr>
          <w:rFonts w:ascii="Verdana" w:hAnsi="Verdana" w:hint="default"/>
          <w:sz w:val="20"/>
          <w:szCs w:val="20"/>
          <w:rtl w:val="0"/>
          <w:lang w:val="en-US"/>
        </w:rPr>
        <w:t> 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Operations Manager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Job Description: 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Acted as the Ad &amp; PR Officer.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Responsible in conducting market, product and company research.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Responsible for ensuring that business operations are efficient and effective.</w:t>
      </w:r>
    </w:p>
    <w:p>
      <w:pPr>
        <w:pStyle w:val="auto-style3"/>
        <w:spacing w:before="0" w:after="0" w:line="285" w:lineRule="atLeast"/>
        <w:rPr>
          <w:rFonts w:ascii="Verdana" w:cs="Verdana" w:hAnsi="Verdana" w:eastAsia="Verdana"/>
          <w:sz w:val="20"/>
          <w:szCs w:val="20"/>
        </w:rPr>
      </w:pPr>
    </w:p>
    <w:p>
      <w:pPr>
        <w:pStyle w:val="auto-style3"/>
        <w:spacing w:before="0" w:after="0" w:line="285" w:lineRule="atLeast"/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4020"/>
        </w:tabs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192404</wp:posOffset>
                </wp:positionV>
                <wp:extent cx="593725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8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.2pt;margin-top:15.1pt;width:467.5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8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AFFILIATIONS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FEU ORADEC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– </w:t>
      </w:r>
      <w:r>
        <w:rPr>
          <w:rFonts w:ascii="Verdana" w:hAnsi="Verdana"/>
          <w:sz w:val="20"/>
          <w:szCs w:val="20"/>
          <w:rtl w:val="0"/>
          <w:lang w:val="en-US"/>
        </w:rPr>
        <w:t>PUBLIC SPEAKING CHAMBER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Oratorical and Debate Council </w:t>
      </w:r>
    </w:p>
    <w:p>
      <w:pPr>
        <w:pStyle w:val="No Spacing"/>
        <w:tabs>
          <w:tab w:val="center" w:pos="468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Description:</w:t>
        <w:tab/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The Oratorical and Debate Council (ORADEC) is the official, non-profit, university-wide student organization of the Far Eastern University that is committed to the pursuit of excellence in debate and public speaking.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TAMARAW VOLUNTEER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January 2007-present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MASS COMMUNICATION SOCIETY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EDUCATIONAL ATTAINMENT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22225</wp:posOffset>
                </wp:positionV>
                <wp:extent cx="593725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8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.2pt;margin-top:1.8pt;width:467.5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8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COLLEGIATE LEVEL</w:t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Bachelor of Arts Major in Mass Communication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Far Eastern University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Department of Communication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Nicanor Reyes, Sampaloc Manila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June 2004-April 2011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HIGHSCHOOL LEVEL</w:t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Sto. Thomas De Villanueva Parochial School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Evangelista Ave., Santolan, Pasig City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June 1998-March 2002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tabs>
          <w:tab w:val="left" w:pos="3585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ELEMENTARY LEVEL</w:t>
        <w:tab/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Santolan Elementary School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Evangelista Ave., Santolan, Pasig City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June 1992-March 1998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tabs>
          <w:tab w:val="left" w:pos="3585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tabs>
          <w:tab w:val="left" w:pos="3585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SEMINARS ATTENDED</w:t>
      </w:r>
    </w:p>
    <w:p>
      <w:pPr>
        <w:pStyle w:val="No Spacing"/>
        <w:tabs>
          <w:tab w:val="left" w:pos="3585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21590</wp:posOffset>
                </wp:positionV>
                <wp:extent cx="5937251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8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.2pt;margin-top:1.7pt;width:467.5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8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Business Speech Training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March 15, 2010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ORADEC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IABF Case Study Room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Far Eastern University</w:t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Hosting and Audience Management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February 24, 2010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ORADEC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IAS Conference Room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Far Eastern University</w:t>
        <w:tab/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iREPORT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09 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March 07, 2009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Prof. William Espinosa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AB grounds, University Conference Center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Far Eastern University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w:tab/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On PROBEation: A Film showing of cum dialogue with Cheche Lazaro and the Probe Team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March 05, 2009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Generoso Pamittan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AB grounds, University Conference Center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Far Eastern University</w:t>
        <w:tab/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FILMMAKING SEMINAR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January 22, 2009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Marilou Diaz Abaya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AB grounds, University Conference Center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Far Eastern University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w:tab/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ADspeak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08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February 08, 2008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Colegio De San Juan De Letran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S.C.A.L.E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(Skills and Competencies Advancement and Leadership Education Program)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January 18, 2008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Dr. Marcon R. Espino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FEU IN Multi-purpose Room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AWARDS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-1270</wp:posOffset>
                </wp:positionV>
                <wp:extent cx="5937251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8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.2pt;margin-top:-0.1pt;width:467.5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8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2</w:t>
      </w:r>
      <w:r>
        <w:rPr>
          <w:rFonts w:ascii="Verdana" w:hAnsi="Verdana"/>
          <w:b w:val="1"/>
          <w:bCs w:val="1"/>
          <w:sz w:val="20"/>
          <w:szCs w:val="20"/>
          <w:vertAlign w:val="superscript"/>
          <w:rtl w:val="0"/>
          <w:lang w:val="en-US"/>
        </w:rPr>
        <w:t>nd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Best Thesis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– </w:t>
      </w:r>
      <w:r>
        <w:rPr>
          <w:rFonts w:ascii="Verdana" w:hAnsi="Verdana"/>
          <w:sz w:val="20"/>
          <w:szCs w:val="20"/>
          <w:rtl w:val="0"/>
          <w:lang w:val="en-US"/>
        </w:rPr>
        <w:t>5</w:t>
      </w:r>
      <w:r>
        <w:rPr>
          <w:rFonts w:ascii="Verdana" w:hAnsi="Verdana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Verdana" w:hAnsi="Verdana" w:hint="default"/>
          <w:sz w:val="20"/>
          <w:szCs w:val="20"/>
          <w:rtl w:val="0"/>
          <w:lang w:val="en-US"/>
        </w:rPr>
        <w:t> </w:t>
      </w:r>
      <w:r>
        <w:rPr>
          <w:rFonts w:ascii="Verdana" w:hAnsi="Verdana"/>
          <w:sz w:val="20"/>
          <w:szCs w:val="20"/>
          <w:rtl w:val="0"/>
          <w:lang w:val="en-US"/>
        </w:rPr>
        <w:t>Communication Research Colloquium: Search for the Best Thesis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Champion in Extemporaneous Speech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–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Far Eastern University 2010 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Best Print Ad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(Print Ad Category) - Tamaraw Awards 2009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4</w:t>
      </w:r>
      <w:r>
        <w:rPr>
          <w:rFonts w:ascii="Verdana" w:hAnsi="Verdana"/>
          <w:b w:val="1"/>
          <w:bCs w:val="1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 placer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(TV Ad Category)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– </w:t>
      </w:r>
      <w:r>
        <w:rPr>
          <w:rFonts w:ascii="Verdana" w:hAnsi="Verdana"/>
          <w:sz w:val="20"/>
          <w:szCs w:val="20"/>
          <w:rtl w:val="0"/>
          <w:lang w:val="en-US"/>
        </w:rPr>
        <w:t>Tamaraw Awards 2009</w:t>
      </w:r>
    </w:p>
    <w:p>
      <w:pPr>
        <w:pStyle w:val="No Spacing"/>
        <w:tabs>
          <w:tab w:val="left" w:pos="126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6</w:t>
      </w:r>
      <w:r>
        <w:rPr>
          <w:rFonts w:ascii="Verdana" w:hAnsi="Verdana"/>
          <w:b w:val="1"/>
          <w:bCs w:val="1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 Placer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(Radio Ad Category)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– </w:t>
      </w:r>
      <w:r>
        <w:rPr>
          <w:rFonts w:ascii="Verdana" w:hAnsi="Verdana"/>
          <w:sz w:val="20"/>
          <w:szCs w:val="20"/>
          <w:rtl w:val="0"/>
          <w:lang w:val="en-US"/>
        </w:rPr>
        <w:t>Tamaraw Awards 2009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PERSONAL INFORMATION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21590</wp:posOffset>
                </wp:positionV>
                <wp:extent cx="593725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8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.2pt;margin-top:1.7pt;width:467.5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8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9"/>
        <w:gridCol w:w="4511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Date of Birth:</w:t>
            </w:r>
          </w:p>
        </w:tc>
        <w:tc>
          <w:tcPr>
            <w:tcW w:type="dxa" w:w="4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September 20, 1985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Sex:</w:t>
            </w:r>
          </w:p>
        </w:tc>
        <w:tc>
          <w:tcPr>
            <w:tcW w:type="dxa" w:w="4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Male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Height:</w:t>
            </w:r>
          </w:p>
        </w:tc>
        <w:tc>
          <w:tcPr>
            <w:tcW w:type="dxa" w:w="4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6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Weight:</w:t>
            </w:r>
          </w:p>
        </w:tc>
        <w:tc>
          <w:tcPr>
            <w:tcW w:type="dxa" w:w="4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115lbs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Civil status:</w:t>
            </w:r>
          </w:p>
        </w:tc>
        <w:tc>
          <w:tcPr>
            <w:tcW w:type="dxa" w:w="4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Single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Religion:</w:t>
            </w:r>
          </w:p>
        </w:tc>
        <w:tc>
          <w:tcPr>
            <w:tcW w:type="dxa" w:w="4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Roman Catholic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Languages:</w:t>
            </w:r>
          </w:p>
        </w:tc>
        <w:tc>
          <w:tcPr>
            <w:tcW w:type="dxa" w:w="4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English and Filipino</w:t>
            </w:r>
          </w:p>
        </w:tc>
      </w:tr>
    </w:tbl>
    <w:p>
      <w:pPr>
        <w:pStyle w:val="No Spacing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*Character references &amp; portfolio may be issued upon request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87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Resume Creative 2017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20"/>
      <w:szCs w:val="20"/>
    </w:rPr>
  </w:style>
  <w:style w:type="numbering" w:styleId="Imported Style 1">
    <w:name w:val="Imported Style 1"/>
    <w:pPr>
      <w:numPr>
        <w:numId w:val="1"/>
      </w:numPr>
    </w:pPr>
  </w:style>
  <w:style w:type="paragraph" w:styleId="auto-style3">
    <w:name w:val="auto-style3"/>
    <w:next w:val="auto-style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4">
    <w:name w:val="Imported Style 4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